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9D" w:rsidRDefault="006520D3" w:rsidP="006520D3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6520D3">
        <w:rPr>
          <w:rFonts w:eastAsia="Times New Roman" w:cs="Times New Roman"/>
          <w:b/>
          <w:bCs/>
          <w:spacing w:val="0"/>
          <w:sz w:val="32"/>
          <w:szCs w:val="32"/>
          <w:lang w:eastAsia="en-GB"/>
        </w:rPr>
        <w:t>Transfer Patient Records to Another Practice Protocol</w:t>
      </w:r>
      <w:r w:rsidRPr="006520D3">
        <w:rPr>
          <w:rFonts w:eastAsia="Times New Roman" w:cs="Times New Roman"/>
          <w:b/>
          <w:bCs/>
          <w:spacing w:val="0"/>
          <w:sz w:val="32"/>
          <w:szCs w:val="32"/>
          <w:lang w:eastAsia="en-GB"/>
        </w:rPr>
        <w:br/>
      </w:r>
      <w:r w:rsidRPr="006520D3"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  <w:t>Document Control</w:t>
      </w:r>
      <w:r w:rsidRPr="006520D3"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  <w:br/>
      </w:r>
      <w:r w:rsidRPr="006520D3">
        <w:rPr>
          <w:rFonts w:eastAsia="Times New Roman" w:cs="Times New Roman"/>
          <w:b/>
          <w:bCs/>
          <w:spacing w:val="0"/>
          <w:sz w:val="32"/>
          <w:szCs w:val="32"/>
          <w:lang w:eastAsia="en-GB"/>
        </w:rPr>
        <w:t>A. Confidentiality Notice</w:t>
      </w:r>
      <w:r w:rsidRPr="006520D3">
        <w:rPr>
          <w:rFonts w:eastAsia="Times New Roman" w:cs="Times New Roman"/>
          <w:b/>
          <w:bCs/>
          <w:spacing w:val="0"/>
          <w:lang w:eastAsia="en-GB"/>
        </w:rPr>
        <w:br/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This document and the information contained therein is the property of </w:t>
      </w:r>
      <w:r w:rsidR="0098079D">
        <w:rPr>
          <w:rFonts w:eastAsia="Times New Roman" w:cs="Times New Roman"/>
          <w:spacing w:val="0"/>
          <w:sz w:val="26"/>
          <w:szCs w:val="26"/>
          <w:lang w:eastAsia="en-GB"/>
        </w:rPr>
        <w:t>Shifa Medical Practice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  <w:r w:rsidRPr="006520D3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This document contains information that is privileged, confidential or otherwise protected from</w:t>
      </w:r>
      <w:r w:rsid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disclosure. It must not be used by, or its contents reproduced or otherwise copied or disclosed</w:t>
      </w:r>
      <w:r w:rsid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without the prior consent in writing from </w:t>
      </w:r>
      <w:r w:rsidR="0098079D">
        <w:rPr>
          <w:rFonts w:eastAsia="Times New Roman" w:cs="Times New Roman"/>
          <w:spacing w:val="0"/>
          <w:sz w:val="26"/>
          <w:szCs w:val="26"/>
          <w:lang w:eastAsia="en-GB"/>
        </w:rPr>
        <w:t>Shifa Medical Pracrtice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</w:p>
    <w:p w:rsidR="006520D3" w:rsidRPr="006520D3" w:rsidRDefault="006520D3" w:rsidP="006520D3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6520D3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6520D3">
        <w:rPr>
          <w:rFonts w:eastAsia="Times New Roman" w:cs="Times New Roman"/>
          <w:b/>
          <w:bCs/>
          <w:spacing w:val="0"/>
          <w:sz w:val="32"/>
          <w:szCs w:val="32"/>
          <w:lang w:eastAsia="en-GB"/>
        </w:rPr>
        <w:t>B. Document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6520D3" w:rsidRPr="006520D3" w:rsidTr="006520D3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6520D3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6520D3">
              <w:rPr>
                <w:rFonts w:eastAsia="Times New Roman" w:cs="Times New Roman"/>
                <w:b/>
                <w:bCs/>
                <w:spacing w:val="0"/>
                <w:sz w:val="32"/>
                <w:szCs w:val="32"/>
                <w:lang w:eastAsia="en-GB"/>
              </w:rPr>
              <w:t>Classification:</w:t>
            </w:r>
          </w:p>
        </w:tc>
      </w:tr>
      <w:tr w:rsidR="006520D3" w:rsidRPr="006520D3" w:rsidTr="006520D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6520D3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6520D3">
              <w:rPr>
                <w:rFonts w:eastAsia="Times New Roman" w:cs="Times New Roman"/>
                <w:b/>
                <w:bCs/>
                <w:spacing w:val="0"/>
                <w:sz w:val="32"/>
                <w:szCs w:val="32"/>
                <w:lang w:eastAsia="en-GB"/>
              </w:rPr>
              <w:t xml:space="preserve">Author and Role: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98079D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  <w:lang w:eastAsia="en-GB"/>
              </w:rPr>
              <w:t>Dr Rashid</w:t>
            </w:r>
          </w:p>
        </w:tc>
      </w:tr>
      <w:tr w:rsidR="006520D3" w:rsidRPr="006520D3" w:rsidTr="006520D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6520D3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6520D3">
              <w:rPr>
                <w:rFonts w:eastAsia="Times New Roman" w:cs="Times New Roman"/>
                <w:b/>
                <w:bCs/>
                <w:spacing w:val="0"/>
                <w:sz w:val="32"/>
                <w:szCs w:val="32"/>
                <w:lang w:eastAsia="en-GB"/>
              </w:rPr>
              <w:t xml:space="preserve">Organisation: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98079D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  <w:lang w:eastAsia="en-GB"/>
              </w:rPr>
              <w:t>Shifa Medical Practice</w:t>
            </w:r>
          </w:p>
        </w:tc>
      </w:tr>
      <w:tr w:rsidR="006520D3" w:rsidRPr="006520D3" w:rsidTr="006520D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6520D3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6520D3">
              <w:rPr>
                <w:rFonts w:eastAsia="Times New Roman" w:cs="Times New Roman"/>
                <w:b/>
                <w:bCs/>
                <w:spacing w:val="0"/>
                <w:sz w:val="32"/>
                <w:szCs w:val="32"/>
                <w:lang w:eastAsia="en-GB"/>
              </w:rPr>
              <w:t>Document Reference:</w:t>
            </w:r>
          </w:p>
        </w:tc>
        <w:tc>
          <w:tcPr>
            <w:tcW w:w="0" w:type="auto"/>
            <w:vAlign w:val="center"/>
            <w:hideMark/>
          </w:tcPr>
          <w:p w:rsidR="006520D3" w:rsidRPr="006520D3" w:rsidRDefault="006520D3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6520D3" w:rsidRPr="006520D3" w:rsidTr="006520D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6520D3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6520D3">
              <w:rPr>
                <w:rFonts w:eastAsia="Times New Roman" w:cs="Times New Roman"/>
                <w:b/>
                <w:bCs/>
                <w:spacing w:val="0"/>
                <w:sz w:val="32"/>
                <w:szCs w:val="32"/>
                <w:lang w:eastAsia="en-GB"/>
              </w:rPr>
              <w:t>Current Version Number:</w:t>
            </w:r>
          </w:p>
        </w:tc>
        <w:tc>
          <w:tcPr>
            <w:tcW w:w="0" w:type="auto"/>
            <w:vAlign w:val="center"/>
            <w:hideMark/>
          </w:tcPr>
          <w:p w:rsidR="006520D3" w:rsidRPr="006520D3" w:rsidRDefault="006520D3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6520D3" w:rsidRPr="006520D3" w:rsidTr="006520D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6520D3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6520D3">
              <w:rPr>
                <w:rFonts w:eastAsia="Times New Roman" w:cs="Times New Roman"/>
                <w:b/>
                <w:bCs/>
                <w:spacing w:val="0"/>
                <w:sz w:val="32"/>
                <w:szCs w:val="32"/>
                <w:lang w:eastAsia="en-GB"/>
              </w:rPr>
              <w:t>Current Document Approved By:</w:t>
            </w:r>
          </w:p>
        </w:tc>
        <w:tc>
          <w:tcPr>
            <w:tcW w:w="0" w:type="auto"/>
            <w:vAlign w:val="center"/>
            <w:hideMark/>
          </w:tcPr>
          <w:p w:rsidR="006520D3" w:rsidRPr="006520D3" w:rsidRDefault="00C36CFC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  <w:bookmarkStart w:id="0" w:name="_GoBack"/>
            <w:bookmarkEnd w:id="0"/>
          </w:p>
        </w:tc>
      </w:tr>
      <w:tr w:rsidR="006520D3" w:rsidRPr="006520D3" w:rsidTr="006520D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6520D3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6520D3">
              <w:rPr>
                <w:rFonts w:eastAsia="Times New Roman" w:cs="Times New Roman"/>
                <w:b/>
                <w:bCs/>
                <w:spacing w:val="0"/>
                <w:sz w:val="32"/>
                <w:szCs w:val="32"/>
                <w:lang w:eastAsia="en-GB"/>
              </w:rPr>
              <w:t xml:space="preserve">Date Approved: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D3" w:rsidRPr="006520D3" w:rsidRDefault="00C36CFC" w:rsidP="006520D3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  <w:lang w:eastAsia="en-GB"/>
              </w:rPr>
              <w:t>01/04/2019</w:t>
            </w:r>
          </w:p>
        </w:tc>
      </w:tr>
    </w:tbl>
    <w:p w:rsidR="00480C3E" w:rsidRDefault="00480C3E" w:rsidP="006520D3">
      <w:pPr>
        <w:rPr>
          <w:rFonts w:eastAsia="Times New Roman" w:cs="Times New Roman"/>
          <w:b/>
          <w:bCs/>
          <w:spacing w:val="0"/>
          <w:sz w:val="32"/>
          <w:szCs w:val="32"/>
          <w:lang w:eastAsia="en-GB"/>
        </w:rPr>
      </w:pPr>
    </w:p>
    <w:p w:rsidR="006520D3" w:rsidRPr="006520D3" w:rsidRDefault="006520D3" w:rsidP="006520D3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6520D3">
        <w:rPr>
          <w:rFonts w:eastAsia="Times New Roman" w:cs="Times New Roman"/>
          <w:b/>
          <w:bCs/>
          <w:spacing w:val="0"/>
          <w:sz w:val="32"/>
          <w:szCs w:val="32"/>
          <w:lang w:eastAsia="en-GB"/>
        </w:rPr>
        <w:t>C. Document Revision and Approval History</w:t>
      </w:r>
    </w:p>
    <w:p w:rsidR="00480C3E" w:rsidRDefault="00480C3E" w:rsidP="004672FA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485"/>
        <w:gridCol w:w="2036"/>
        <w:gridCol w:w="2199"/>
        <w:gridCol w:w="1860"/>
      </w:tblGrid>
      <w:tr w:rsidR="00480C3E" w:rsidTr="00480C3E">
        <w:tc>
          <w:tcPr>
            <w:tcW w:w="170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Version</w:t>
            </w:r>
          </w:p>
        </w:tc>
        <w:tc>
          <w:tcPr>
            <w:tcW w:w="1485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Date</w:t>
            </w:r>
          </w:p>
        </w:tc>
        <w:tc>
          <w:tcPr>
            <w:tcW w:w="203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Next Review Date</w:t>
            </w:r>
          </w:p>
        </w:tc>
        <w:tc>
          <w:tcPr>
            <w:tcW w:w="2199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Version Approved By</w:t>
            </w:r>
          </w:p>
        </w:tc>
        <w:tc>
          <w:tcPr>
            <w:tcW w:w="1860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Comments</w:t>
            </w:r>
          </w:p>
        </w:tc>
      </w:tr>
      <w:tr w:rsidR="00480C3E" w:rsidTr="00480C3E">
        <w:tc>
          <w:tcPr>
            <w:tcW w:w="170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1</w:t>
            </w:r>
          </w:p>
        </w:tc>
        <w:tc>
          <w:tcPr>
            <w:tcW w:w="1485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01/04/2019</w:t>
            </w:r>
          </w:p>
        </w:tc>
        <w:tc>
          <w:tcPr>
            <w:tcW w:w="203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01/04/2020</w:t>
            </w:r>
          </w:p>
        </w:tc>
        <w:tc>
          <w:tcPr>
            <w:tcW w:w="2199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Dr Rashid</w:t>
            </w:r>
          </w:p>
        </w:tc>
        <w:tc>
          <w:tcPr>
            <w:tcW w:w="1860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</w:tr>
      <w:tr w:rsidR="00480C3E" w:rsidTr="00480C3E">
        <w:tc>
          <w:tcPr>
            <w:tcW w:w="170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485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03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199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0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</w:tr>
      <w:tr w:rsidR="00480C3E" w:rsidTr="00480C3E">
        <w:tc>
          <w:tcPr>
            <w:tcW w:w="170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485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03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199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0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</w:tr>
      <w:tr w:rsidR="00480C3E" w:rsidTr="00480C3E">
        <w:tc>
          <w:tcPr>
            <w:tcW w:w="170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485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03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199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0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</w:tr>
      <w:tr w:rsidR="00480C3E" w:rsidTr="00480C3E">
        <w:tc>
          <w:tcPr>
            <w:tcW w:w="170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485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03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199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0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</w:tr>
      <w:tr w:rsidR="00480C3E" w:rsidTr="00480C3E">
        <w:tc>
          <w:tcPr>
            <w:tcW w:w="170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485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036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199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0" w:type="dxa"/>
          </w:tcPr>
          <w:p w:rsidR="00480C3E" w:rsidRDefault="00480C3E" w:rsidP="004672F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</w:tr>
    </w:tbl>
    <w:p w:rsidR="0098079D" w:rsidRDefault="006520D3" w:rsidP="004672FA">
      <w:pPr>
        <w:rPr>
          <w:rFonts w:eastAsia="Times New Roman" w:cs="Times New Roman"/>
          <w:b/>
          <w:bCs/>
          <w:spacing w:val="0"/>
          <w:sz w:val="28"/>
          <w:szCs w:val="28"/>
          <w:lang w:eastAsia="en-GB"/>
        </w:rPr>
      </w:pPr>
      <w:r w:rsidRPr="006520D3">
        <w:rPr>
          <w:rFonts w:ascii="Times New Roman" w:eastAsia="Times New Roman" w:hAnsi="Times New Roman" w:cs="Times New Roman"/>
          <w:color w:val="auto"/>
          <w:spacing w:val="0"/>
          <w:lang w:eastAsia="en-GB"/>
        </w:rPr>
        <w:br/>
      </w:r>
    </w:p>
    <w:p w:rsidR="00480C3E" w:rsidRDefault="006520D3" w:rsidP="004672FA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Introduction</w:t>
      </w: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F56145" w:rsidRDefault="006520D3" w:rsidP="004672FA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This protocol is intended to detail the processes involved in the transfer of patient records, both</w:t>
      </w:r>
      <w:r w:rsid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electronically and in document form, from one Practice to another.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="0098079D">
        <w:rPr>
          <w:rFonts w:eastAsia="Times New Roman" w:cs="Times New Roman"/>
          <w:spacing w:val="0"/>
          <w:sz w:val="26"/>
          <w:szCs w:val="26"/>
          <w:lang w:eastAsia="en-GB"/>
        </w:rPr>
        <w:t>Shifa Medical Practice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 uses </w:t>
      </w:r>
      <w:r w:rsid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EMIS WEB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for the electronic storage of clinical records. It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does also, however,use paper records for certain elements and where paper records have been transferred-in from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another Practice that does not use comprehensive electronic methods.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  <w:t>General Practice, and indeed the NHS as a whole, has an objective to move to paperless systems,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and “Paperlight” status is an award that many Practices have already attained, with many more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working towards this. </w:t>
      </w:r>
      <w:r w:rsidR="0098079D">
        <w:rPr>
          <w:rFonts w:eastAsia="Times New Roman" w:cs="Times New Roman"/>
          <w:spacing w:val="0"/>
          <w:sz w:val="26"/>
          <w:szCs w:val="26"/>
          <w:lang w:eastAsia="en-GB"/>
        </w:rPr>
        <w:t>Shifa Medical Practice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 has been awarded this status.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  <w:t>The Practice generally uses the GP2GP process when transferring records electronically between</w:t>
      </w:r>
    </w:p>
    <w:p w:rsidR="00F56145" w:rsidRDefault="006520D3" w:rsidP="004672FA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  <w:t>Practices (see below for details of this process).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GP2GP – Electronic Secure Transfer of Patient Records</w:t>
      </w: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GP2GP is an NHS Connecting for Health project that enables patients' Electronic Health Records(EHRs) to be transferred directly between Practices.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  <w:t>The idea behind this system is that GP2GP electronic transfers are more accurate, secure and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enable a much shorter process-time than paper-based transfers, which can take weeks to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complete.</w:t>
      </w:r>
    </w:p>
    <w:p w:rsidR="00F56145" w:rsidRDefault="006520D3" w:rsidP="004672FA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The GP2GP Process</w:t>
      </w: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F56145" w:rsidRDefault="006520D3" w:rsidP="004672FA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The GP2GP process starts when a Practice accepts a patient onto their list of patients for primary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healthcare and ends when the EHR is transferred from the previous Practice into the new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Practice’s clinical system.</w:t>
      </w:r>
    </w:p>
    <w:p w:rsidR="00F56145" w:rsidRDefault="006520D3" w:rsidP="004672FA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  <w:t>Once the patient is accepted and his / her identity has been matched using the Personal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Demographic Service (PDS) a message is sent to the previous Practice requesting a copy of the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patient's EHR (but only if the patient's former Practice is also GP2GP-enabled).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The previous Practice locates the patient record and sends an acknowledgement stating whether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or not it is able to provide the EHR extract.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  <w:t>If it is able to do so, then the EHR extract message is generated from the patient health record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held on the GP clinical system and subsequently sent to the new Practice for integration into its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own GP clinical system.</w:t>
      </w:r>
      <w:r w:rsidRPr="0098079D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Transfer of Paper Patient Records</w:t>
      </w: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F56145" w:rsidRDefault="006520D3" w:rsidP="004672FA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Transfer-In</w:t>
      </w: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The manager is responsible for receipt of all transferred-in patient paper records;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Once a record has been received from the transferring Practice, the status of the electronic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record on the clinical system should be changed to indicate this;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Check that a complete statement summary of all documentation has been received (contact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the previous Practice if this has not been included);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 xml:space="preserve">Where this has been included, check that all listed included documentation has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actually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arrived (contact the previous Practice if any documentation is missing);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Arrange all records in chronological order (including additional referral letters, pathology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results, etc);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F115A4" w:rsidRPr="0098079D" w:rsidRDefault="006520D3" w:rsidP="004672FA">
      <w:pPr>
        <w:rPr>
          <w:sz w:val="26"/>
          <w:szCs w:val="26"/>
        </w:rPr>
      </w:pP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Transfer-Out</w:t>
      </w:r>
      <w:r w:rsidRPr="0098079D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The summary should be checked for codes relating to child protection. In this event, it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should be brought to the attention of the manager and child protection lead to determine if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any further action is needed prior to transfer.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Gather all the patient’s records from the filing systems in which they are stored (making sure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that all attachments are included);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Arrange all records in chronological order;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Print a complete copy of the electronic record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Package the documentation (including summary) in a secure courier bag and secure-tag it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appropriately;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Send the records via the nominated secure courier to the records department (they will</w:t>
      </w:r>
      <w:r w:rsidR="00F5614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forward them to the new Practice themselves)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sym w:font="Symbol" w:char="F0B7"/>
      </w:r>
      <w:r w:rsidRPr="0098079D">
        <w:rPr>
          <w:rFonts w:ascii="Symbol" w:eastAsia="Times New Roman" w:hAnsi="Symbol" w:cs="Times New Roman"/>
          <w:spacing w:val="0"/>
          <w:sz w:val="26"/>
          <w:szCs w:val="26"/>
          <w:lang w:eastAsia="en-GB"/>
        </w:rPr>
        <w:t></w:t>
      </w:r>
      <w:r w:rsidRPr="0098079D">
        <w:rPr>
          <w:rFonts w:eastAsia="Times New Roman" w:cs="Times New Roman"/>
          <w:spacing w:val="0"/>
          <w:sz w:val="26"/>
          <w:szCs w:val="26"/>
          <w:lang w:eastAsia="en-GB"/>
        </w:rPr>
        <w:t>Change the status on your clinical system to indicate that the records have been transferred.</w:t>
      </w:r>
    </w:p>
    <w:sectPr w:rsidR="00F115A4" w:rsidRPr="0098079D" w:rsidSect="00B35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5C" w:rsidRDefault="00D6615C" w:rsidP="00A461C0">
      <w:r>
        <w:separator/>
      </w:r>
    </w:p>
  </w:endnote>
  <w:endnote w:type="continuationSeparator" w:id="0">
    <w:p w:rsidR="00D6615C" w:rsidRDefault="00D6615C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5C" w:rsidRDefault="00D6615C" w:rsidP="00A461C0">
      <w:r>
        <w:separator/>
      </w:r>
    </w:p>
  </w:footnote>
  <w:footnote w:type="continuationSeparator" w:id="0">
    <w:p w:rsidR="00D6615C" w:rsidRDefault="00D6615C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Rashid  </w:t>
    </w:r>
    <w:r w:rsidR="00073A41">
      <w:rPr>
        <w:rFonts w:ascii="Times New Roman" w:hAnsi="Times New Roman" w:cs="Times New Roman"/>
      </w:rPr>
      <w:tab/>
    </w:r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r w:rsidRPr="00547EC2">
      <w:rPr>
        <w:rFonts w:ascii="Times New Roman" w:hAnsi="Times New Roman" w:cs="Times New Roman"/>
        <w:sz w:val="24"/>
        <w:szCs w:val="24"/>
      </w:rPr>
      <w:t>Shifa Medical Practice</w:t>
    </w:r>
  </w:p>
  <w:p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1849  Fax: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:rsidR="00D6615C" w:rsidRDefault="00D6615C" w:rsidP="00A461C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0"/>
    <w:rsid w:val="00073A41"/>
    <w:rsid w:val="00076FC8"/>
    <w:rsid w:val="000C6697"/>
    <w:rsid w:val="001F1477"/>
    <w:rsid w:val="00357338"/>
    <w:rsid w:val="00392C7E"/>
    <w:rsid w:val="004672FA"/>
    <w:rsid w:val="00480C3E"/>
    <w:rsid w:val="0049339E"/>
    <w:rsid w:val="00547EC2"/>
    <w:rsid w:val="005E0C55"/>
    <w:rsid w:val="006520D3"/>
    <w:rsid w:val="0065399A"/>
    <w:rsid w:val="007761E9"/>
    <w:rsid w:val="00785510"/>
    <w:rsid w:val="008B78E2"/>
    <w:rsid w:val="00905C40"/>
    <w:rsid w:val="0098079D"/>
    <w:rsid w:val="00A461C0"/>
    <w:rsid w:val="00A81B39"/>
    <w:rsid w:val="00A87A73"/>
    <w:rsid w:val="00B3529C"/>
    <w:rsid w:val="00C36CFC"/>
    <w:rsid w:val="00C43517"/>
    <w:rsid w:val="00D6615C"/>
    <w:rsid w:val="00E302BE"/>
    <w:rsid w:val="00E349B3"/>
    <w:rsid w:val="00F115A4"/>
    <w:rsid w:val="00F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6520D3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6520D3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6520D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8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6520D3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6520D3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6520D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8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701D6AB</Template>
  <TotalTime>12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2020-01-02T09:35:00Z</dcterms:created>
  <dcterms:modified xsi:type="dcterms:W3CDTF">2020-01-02T09:46:00Z</dcterms:modified>
</cp:coreProperties>
</file>