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9F" w:rsidRPr="0042538F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Smart Card Procedures and Usage Policy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Document Control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A. Confidentiality Notice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This document and the information contained therein is the property of 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document contains information that is privileged, confidential or otherwise protected from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disclosure. It must not be used by, or its contents reproduced or otherwise copied or disclosed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without the prior consent in writing from </w:t>
      </w:r>
      <w:r w:rsidR="0042538F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bookmarkStart w:id="0" w:name="_GoBack"/>
      <w:bookmarkEnd w:id="0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334E9F" w:rsidRPr="00334E9F" w:rsidTr="00334E9F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Classification:</w:t>
            </w:r>
          </w:p>
        </w:tc>
      </w:tr>
      <w:tr w:rsidR="00334E9F" w:rsidRPr="00334E9F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6"/>
                <w:szCs w:val="26"/>
                <w:lang w:eastAsia="en-GB"/>
              </w:rPr>
              <w:t>Dr Rashid</w:t>
            </w:r>
          </w:p>
        </w:tc>
      </w:tr>
      <w:tr w:rsidR="00334E9F" w:rsidRPr="00334E9F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6"/>
                <w:szCs w:val="26"/>
                <w:lang w:eastAsia="en-GB"/>
              </w:rPr>
              <w:t>Shifa Medical Practice</w:t>
            </w:r>
          </w:p>
        </w:tc>
      </w:tr>
      <w:tr w:rsidR="00334E9F" w:rsidRPr="00334E9F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334E9F" w:rsidRPr="00334E9F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334E9F" w:rsidRPr="00334E9F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334E9F" w:rsidRPr="00334E9F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6"/>
                <w:szCs w:val="26"/>
                <w:lang w:eastAsia="en-GB"/>
              </w:rPr>
              <w:t>01/04/2019</w:t>
            </w:r>
          </w:p>
        </w:tc>
      </w:tr>
    </w:tbl>
    <w:p w:rsidR="00DE20F5" w:rsidRDefault="00DE20F5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</w:p>
    <w:p w:rsidR="00334E9F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C. Document Revision and Approval History</w:t>
      </w:r>
    </w:p>
    <w:p w:rsidR="00DE20F5" w:rsidRPr="00334E9F" w:rsidRDefault="00DE20F5" w:rsidP="00334E9F">
      <w:pPr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6"/>
        <w:gridCol w:w="2056"/>
        <w:gridCol w:w="1843"/>
        <w:gridCol w:w="1971"/>
        <w:gridCol w:w="1360"/>
      </w:tblGrid>
      <w:tr w:rsidR="00DE20F5" w:rsidRPr="00334E9F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Date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DE20F5" w:rsidP="00DE20F5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 xml:space="preserve">Next Review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Version By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Approved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DE20F5" w:rsidRPr="00334E9F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01/04/2019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01/04/2020</w:t>
            </w:r>
          </w:p>
        </w:tc>
        <w:tc>
          <w:tcPr>
            <w:tcW w:w="0" w:type="auto"/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Zahid Karim</w:t>
            </w:r>
          </w:p>
        </w:tc>
        <w:tc>
          <w:tcPr>
            <w:tcW w:w="0" w:type="auto"/>
            <w:vAlign w:val="center"/>
          </w:tcPr>
          <w:p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Dr Rashid</w:t>
            </w: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DE20F5" w:rsidRPr="00334E9F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DE20F5" w:rsidRPr="00334E9F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</w:tbl>
    <w:p w:rsidR="00DE20F5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  <w:r w:rsid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Shifa Medical Practice</w:t>
      </w:r>
    </w:p>
    <w:p w:rsidR="00DE20F5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Smart Card Procedures Document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DE20F5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Background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DE20F5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With the introduction of the NHS Care Records Service (NHS CRS) applications, it is of paramount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importance that patients of the NHS are confident that their medical records are being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appropriately kept secure and confidential in line with the NHS Care Records Guarantee.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DE20F5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achieve this objective, all NHS Care Records Service compliant applications require healthcare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professionals / workers requiring access, to be registered and issued with a Smartcard and have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appropriate access profile(s).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The NHS CRS and related services like Choose and Book and the Electronic Prescription Service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use a common approach to protect the security and confidentiality of every patient’s personal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health care details.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NHS CRS smartcards help control who accesses the NHS CRS and what level of access that they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can have. They are similar to a chip and pin credit or debit card, but are more secure. A user’s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 is printed with their name, photograph and unique user identity number.</w:t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Registering as a Smartcard User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Registration process comprises three distinct activities: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1) </w:t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Registration of identity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user is ‘sponsored’ to be issued with a Smartcard. The user has their identity checked to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eGif level 3 and a personal details record is created in the Spine User Directory (SUD).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registration procedure will only need to be performed once, by a Registration Authority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Agent or Manager.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2) </w:t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Choosing appropriate access to NHS CRS functionality / information (via their profile) and</w:t>
      </w:r>
      <w:r w:rsidR="00592387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linking it to the SUD record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may be changed as necessary (by each organisation); a profile requires a sponsor’s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approval which is granted by a Registration Authority Agent or Manager.</w:t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3) Creating a card to link the user to their SUD record and access profile(s):</w:t>
      </w:r>
      <w:r w:rsidRPr="00334E9F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allows access to NHS CRS.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Doc. Ref – Version – Filename: Smart Card Procedures and Usage Policy Page 3 of 8</w:t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New Staff Starting Work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As part of their normal induction process, new staff who are required to use the Practice Clinical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System / NPfIT Application will be: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Introduced to their relevant ‘sponsor’ who will identify their appropriate role profile and take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them through the specific Registration Authority (RA) processes required. This could be how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become registered or, if the User already holds a Smartcard issued by another Practice,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adding the necessary Role Profile/s.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Trained on the aspects of the Practice Clinical System / NPfIT Application relevant to their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role/s. (This guidance must be written as well as verbal).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Trained on the National and Local CCG RA processes.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Where full registration is required, the Applicant will be required to bring suitable forms of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identification with them.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Where staff are recruited to a role which requires access to Clinical System / National NPfIT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Applications it is important that the following points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are considered: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Checks on an applicant’s ID are made during recruitment to ensure that RA Level 3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identification requirements are met.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Offers of employment are dependent on the applicant’s ability to meet and continue to meet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all requirements for NPfIT access.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The Induction process incorporates the issuing of Smartcards (where the applicant is not an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existing Smartcard holder) and adding the appropriate role profile(s).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Staff should be trained sufficiently prior to them using Smartcards and / or Clinical Systems /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 Applications.</w:t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Staff must have read and understood the policies and procedures governing the use of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Smartcards, the Practice Clinical System / NPfIT Applications (as specified in RA01 form) and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must sign to verify this.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All Clinical System / NPfIT Application Users must have sufficient training to carry out their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Clinical System / NPfIT Application tasks without risk.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minimise duplication, all the above requirements will be integrated as much as possible into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Practice’s standard employment processes and procedures.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Existing Staff Leaving the Practice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When existing staff members leave the Practice, the following points must be considered: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All Practice role profiles in the NPfIT Spine User Directory pertaining to the employee will be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deactivated as soon as is practical.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If the User is transferring to another NHS related location (e.g. GP Practice, Acute Trust etc.)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they can provide details / proof, then the current registration details will be copied and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sent to the new location – the user is allowed to retain the Smartcard but their Practice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profile is removed.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Staff permanently leaving the NHS (e.g. retirement, leaving for employment in a non-NHS job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or taking up full-time education etc.) will have their certificate revoked and the Smartcard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issued to them will be destroyed.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The RA Manager must be advised, giving as much notice as possible.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The required actions must be taken as soon as possible after the staff member leaves.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Contractors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 will ensure all contractors who need to use the Clinical System / NPfIT Applications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are bound to the Data Protection Act and The NHS Confidentiality Code of Practice.</w:t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will include the process to be taken in cases of a breach and liability issues.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592387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</w:p>
    <w:p w:rsidR="00592387" w:rsidRDefault="00592387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Incident Reporting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Incidents may be reported by any member of staff where they feel there is a risk to patient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health, confidentiality or the reputation of the Practice.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Incidents should be reported, using the Practice Incident Procedure, to the RA Agent either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within the practice or CCG and then escalated to the RA Manager of the CCG.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Examples of incidents to be reported include (list is not exhaustive):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Smartcard or application misuse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Smartcard theft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Non-compliance of local or national RA policy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Any unauthorised access of Clinical System / NPfIT Applications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Any unauthorised alteration of patient data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RA Manager will consider all incidents reported to them.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Any incidents considered significant will be escalated to the CCG Board / Senior Practice staff, HR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/ or the Practice’s Caldicott Guardian depending on the nature of the incident.</w:t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major breach of security will also be reported by the RA Manager to the LSP and NPfIT to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ensure any risks resulting from the event can be taken into account and mitigated against.</w:t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significant incident is an isolated incident or a series of less significant incidents that could lead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a serious degradation of healthcare or information security.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Practice’s Caldicott Guardian will consider incidents reported to them and decide whether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Practice’s systems or working practices should be reviewed as a result.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Incidents which involve breaches of security or demonstrate that a User may not be considered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trustworthy will also be reported to HR and the Practice’s Caldicott Guardian by the RA Manager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so that any disciplinary measures required may be taken.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Dr. 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>Rashid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will decide which other members of staff need to be involved (e.g. Line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Manager, IT manager).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Staff Responsibilities in the use of Smartcards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give users access to N3 connectivity and all of the services made available to general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practice by Health and Social Care Information Centre (e.g. Choose and Book, Electronic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Prescription Service, GP2GP, Summary Care Record)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All members of staff that require access to the Practice’s Clinical System must apply for and be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issued with a Smartcard.</w:t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Smartcards are the property and responsibility of the user whilst they are employed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at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Practice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must: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Only used by the person named on the Smartcard;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Never be shared;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Be used every time the Practice’s Clinical System is accessed;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Be removed from the Keyboard’s cardholder when the user finishes their work on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computer;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Be kept safe at all times (cardholders on neck cords / clips have been issued to ensure safe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keeping).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that develop technical problems (e.g. will not connect to the server) must be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reported to the Manager immediately, so that appropriate action can be taken.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If a user leaves their Smartcard at home, they will be asked to return to collect it. Under no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circumstances will the clinical system be accessed using another user’s card. Any violation of this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rule will result in disciplinary action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member of staff going on long term sickness / maternity leave will be required to surrender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their Smartcard to the Manager, so that the properties on the electronic chip can be removed.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These properties will be reinstated when the member of staff returns to work.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Staff leaving the Practice to move on to another NHS employer, and they can provide proof of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this, will have the Practice properties removed from their Smartcard by the IT department. This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will enable the Smartcard to be re-used by the new employer who will allocate their own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properties to the Smartcard’s electronic chip.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Effects of inappropriate use / misuse of Smartcards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Inappropriate use of Smartcards may result in data being recorded on the Practice’s Clinical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System but not being uploaded to the National spine.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could have serious consequences for third parties accessing data (with appropriate data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sharing agreements in place) who will act on the information that is made available to them.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 misuse may also result in patient records not being complete, accurate, relevant,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accessible and timely (e.g. for clinicians working in Out Of Hours).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Ensuring Smartcards are used correctly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manager is the Practice person responsible for monitoring correct and appropriate use of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throughout the Practice and ensuring that they are used in accordance with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terms and conditions set out in the RA01 Short Form.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Copies of the RA01 Short Form are available from the manager.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Members of staff using Smartcards are required to sign a copy of the RA01 Short Form.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signed copy is stored in their Personal File.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To ensure that all members of staff issued with a Smartcard continue to be aware of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obligations set out in the RA01 Short Form, every person listed on the Smartcard Terms and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Conditions Log Sheet (</w:t>
      </w:r>
      <w:r w:rsidRPr="00DE20F5">
        <w:rPr>
          <w:rFonts w:eastAsia="Times New Roman" w:cs="Times New Roman"/>
          <w:b/>
          <w:bCs/>
          <w:color w:val="0000FF"/>
          <w:spacing w:val="0"/>
          <w:sz w:val="26"/>
          <w:szCs w:val="26"/>
          <w:lang w:eastAsia="en-GB"/>
        </w:rPr>
        <w:t>See Specimen Template in Appendix A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) will verify s/he has read,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understood and will comply with the obligations identified in the document by signing this Log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Sheet in the appropriate place.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Breaches of Smartcard Terms and Conditions of Use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 will ensure that all members of staff issued with a Smartcard are aware of the terms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conditions of issue and use, are able to comply with these and understand that failure to do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so will be dealt with as a serious disciplinary matter.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Should there be any breach of the Smartcard terms and conditions of issue and use, the incident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will be recorded in line with the Practice’s Incident Management Reporting Procedures and this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 turn may lead to disciplinary action being taken against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the individual(s) in question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Guidance Notes for the Practice on the issue and use of Smartcards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Introduction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:rsidR="008659D9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All organisations need to ensure that staff members and those working on behalf of the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organisation who have been issued with an NHS Smartcard comply with the terms and conditions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detailed in the RA01 Short Form.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:rsidR="008659D9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Breach of the terms and conditions and/or of organisational procedures relating to Smartcard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usage should be linked to incident management reports and disciplinary measures.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1. NHS Care Records Service (NHS CRS) Smartcards and pass codes help control who accesses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NHS CRS and what level of access that they can have.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Before a Smartcard is issued, the Registration Authority (RA) will require applicants to fill in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sign a RA01 form, thereby agreeing to the terms and conditions of issuance set out on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form.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2. From March 2010 the registration software will progressively change and new users will be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required to sign these terms and conditions electronically, rather than in paper form, before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being able to access any application.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Additionally any changes to the terms and conditions, or required resign of the terms and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conditions, can be imposed by the software with further access being potentially denied if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appropriate.</w:t>
      </w:r>
    </w:p>
    <w:p w:rsidR="008659D9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Compliance with the Terms and Conditions of Smartcard Issue</w:t>
      </w:r>
    </w:p>
    <w:p w:rsidR="00334E9F" w:rsidRPr="00334E9F" w:rsidRDefault="00334E9F" w:rsidP="00334E9F">
      <w:pPr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1. These conditions are in part no more than the information governance practice required of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all staff but there are also a number of key requirements around the safe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and secure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retention of Smartcards and the notification of any changes to the user’s access profiles.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2. It is essential that everyone with an NHS Smartcard and pass code is aware of and able to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comply with the terms and conditions of issue and that they understand that failure to do so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will be dealt with as a serious disciplinary matter.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3. If the Smartcards and pass codes have been issued via another organisation’s RA (e.g. by a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CCG to a general practice), then the provider organisation will require assurances.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These assurances will include evidence of periodic review that practice partners, owners,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senior managers, etc. are aware of and complying with their responsibilities to: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Monitor staff compliance with the terms and conditions of smartcard usage;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Inform the provider organisation when staff leave or change jobs;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Report any usage issues.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4. All organisations, whether they are a Registration Authority or not, that have NHS Smartcard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users must have effective and clearly defined procedures for dealing with breaches in the use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of Smartcards and pass codes.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These procedures need to be organisation-based so that appropriate action can be taken by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user’s employer and should integrate with existing Human Resources and information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security procedures.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5. Organisations with Registration Authority responsibilities should ensure these procedures are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incorporated into their overall RA business processes and procedures.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6. All Smartcard users must be effectively informed about the procedures for dealing with a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breach.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Appendix A - Smartcard Terms and Conditions Log Sheet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I have read and understand my responsibilities with regard to the terms and conditions set out in the RA01 Short Form</w:t>
      </w:r>
    </w:p>
    <w:p w:rsidR="00F115A4" w:rsidRDefault="00F115A4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4672FA">
      <w:pPr>
        <w:rPr>
          <w:sz w:val="26"/>
          <w:szCs w:val="26"/>
        </w:rPr>
      </w:pPr>
    </w:p>
    <w:p w:rsidR="001C4AC5" w:rsidRDefault="001C4AC5" w:rsidP="001C4AC5">
      <w:pPr>
        <w:jc w:val="center"/>
        <w:rPr>
          <w:b/>
          <w:bCs/>
          <w:sz w:val="32"/>
          <w:szCs w:val="32"/>
        </w:rPr>
      </w:pPr>
      <w:r w:rsidRPr="001C4AC5">
        <w:rPr>
          <w:b/>
          <w:bCs/>
          <w:sz w:val="32"/>
          <w:szCs w:val="32"/>
        </w:rPr>
        <w:t>Appendix A - Smartcard Terms and Conditions Log Sheet</w:t>
      </w:r>
    </w:p>
    <w:p w:rsidR="00104189" w:rsidRDefault="00104189" w:rsidP="001C4AC5">
      <w:pPr>
        <w:jc w:val="center"/>
        <w:rPr>
          <w:b/>
          <w:bCs/>
          <w:sz w:val="32"/>
          <w:szCs w:val="32"/>
        </w:rPr>
      </w:pPr>
    </w:p>
    <w:p w:rsidR="00104189" w:rsidRDefault="00104189" w:rsidP="001C4AC5">
      <w:pPr>
        <w:jc w:val="center"/>
        <w:rPr>
          <w:b/>
          <w:bCs/>
          <w:sz w:val="28"/>
          <w:szCs w:val="28"/>
        </w:rPr>
      </w:pPr>
      <w:r w:rsidRPr="00104189">
        <w:rPr>
          <w:b/>
          <w:bCs/>
          <w:sz w:val="28"/>
          <w:szCs w:val="28"/>
        </w:rPr>
        <w:t>I have read and understand my responsibilities with regard to the terms and conditions set out in the RA01 Short Form</w:t>
      </w:r>
    </w:p>
    <w:p w:rsidR="00104189" w:rsidRDefault="00104189" w:rsidP="001C4AC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822"/>
        <w:gridCol w:w="1273"/>
        <w:gridCol w:w="1548"/>
        <w:gridCol w:w="1548"/>
        <w:gridCol w:w="1548"/>
      </w:tblGrid>
      <w:tr w:rsidR="00104189" w:rsidTr="00104189">
        <w:tc>
          <w:tcPr>
            <w:tcW w:w="1547" w:type="dxa"/>
          </w:tcPr>
          <w:p w:rsidR="00104189" w:rsidRDefault="00104189" w:rsidP="00104189">
            <w:pPr>
              <w:jc w:val="center"/>
            </w:pPr>
            <w:r>
              <w:rPr>
                <w:rStyle w:val="fontstyle01"/>
              </w:rPr>
              <w:t>Date RA01</w:t>
            </w:r>
            <w:r>
              <w:rPr>
                <w:b/>
                <w:bCs/>
              </w:rPr>
              <w:br/>
            </w:r>
            <w:r>
              <w:rPr>
                <w:rStyle w:val="fontstyle01"/>
              </w:rPr>
              <w:t>Short Form</w:t>
            </w:r>
            <w:r>
              <w:rPr>
                <w:b/>
                <w:bCs/>
              </w:rPr>
              <w:br/>
            </w:r>
            <w:r>
              <w:rPr>
                <w:rStyle w:val="fontstyle01"/>
              </w:rPr>
              <w:t>Reviewed</w:t>
            </w:r>
          </w:p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273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Position/ Work Role</w:t>
            </w: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Smartcard Issue</w:t>
            </w:r>
          </w:p>
        </w:tc>
        <w:tc>
          <w:tcPr>
            <w:tcW w:w="1548" w:type="dxa"/>
          </w:tcPr>
          <w:p w:rsidR="00104189" w:rsidRDefault="00335DE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Smart Card Expiry Date</w:t>
            </w:r>
          </w:p>
        </w:tc>
        <w:tc>
          <w:tcPr>
            <w:tcW w:w="1548" w:type="dxa"/>
          </w:tcPr>
          <w:p w:rsidR="00104189" w:rsidRDefault="00335DE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Signature</w:t>
            </w:r>
          </w:p>
        </w:tc>
      </w:tr>
      <w:tr w:rsidR="00104189" w:rsidTr="00104189">
        <w:tc>
          <w:tcPr>
            <w:tcW w:w="1547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04189" w:rsidTr="00104189">
        <w:tc>
          <w:tcPr>
            <w:tcW w:w="1547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04189" w:rsidTr="00104189">
        <w:tc>
          <w:tcPr>
            <w:tcW w:w="1547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:rsidTr="00104189">
        <w:tc>
          <w:tcPr>
            <w:tcW w:w="1547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:rsidTr="00104189">
        <w:tc>
          <w:tcPr>
            <w:tcW w:w="1547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:rsidTr="00104189">
        <w:tc>
          <w:tcPr>
            <w:tcW w:w="1547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:rsidTr="00104189">
        <w:tc>
          <w:tcPr>
            <w:tcW w:w="1547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:rsidTr="00104189">
        <w:tc>
          <w:tcPr>
            <w:tcW w:w="1547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:rsidTr="00104189">
        <w:tc>
          <w:tcPr>
            <w:tcW w:w="1547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04189" w:rsidRPr="001C4AC5" w:rsidRDefault="00104189" w:rsidP="001C4AC5">
      <w:pPr>
        <w:jc w:val="center"/>
        <w:rPr>
          <w:b/>
          <w:sz w:val="26"/>
          <w:szCs w:val="26"/>
        </w:rPr>
      </w:pPr>
    </w:p>
    <w:sectPr w:rsidR="00104189" w:rsidRPr="001C4AC5" w:rsidSect="00B3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5C" w:rsidRDefault="00D6615C" w:rsidP="00A461C0">
      <w:r>
        <w:separator/>
      </w:r>
    </w:p>
  </w:endnote>
  <w:endnote w:type="continuationSeparator" w:id="0">
    <w:p w:rsidR="00D6615C" w:rsidRDefault="00D6615C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5C" w:rsidRDefault="00D6615C" w:rsidP="00A461C0">
      <w:r>
        <w:separator/>
      </w:r>
    </w:p>
  </w:footnote>
  <w:footnote w:type="continuationSeparator" w:id="0">
    <w:p w:rsidR="00D6615C" w:rsidRDefault="00D6615C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Rashid  </w:t>
    </w:r>
    <w:r w:rsidR="00073A41">
      <w:rPr>
        <w:rFonts w:ascii="Times New Roman" w:hAnsi="Times New Roman" w:cs="Times New Roman"/>
      </w:rPr>
      <w:tab/>
    </w:r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1849  Fax: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0"/>
    <w:rsid w:val="00073A41"/>
    <w:rsid w:val="00076FC8"/>
    <w:rsid w:val="000C6697"/>
    <w:rsid w:val="00104189"/>
    <w:rsid w:val="001C4AC5"/>
    <w:rsid w:val="001F1477"/>
    <w:rsid w:val="00334E9F"/>
    <w:rsid w:val="00335DE9"/>
    <w:rsid w:val="00357338"/>
    <w:rsid w:val="00392C7E"/>
    <w:rsid w:val="003F2270"/>
    <w:rsid w:val="0042538F"/>
    <w:rsid w:val="004672FA"/>
    <w:rsid w:val="0049339E"/>
    <w:rsid w:val="00547EC2"/>
    <w:rsid w:val="00592387"/>
    <w:rsid w:val="005E0C55"/>
    <w:rsid w:val="0065399A"/>
    <w:rsid w:val="007761E9"/>
    <w:rsid w:val="00785510"/>
    <w:rsid w:val="008659D9"/>
    <w:rsid w:val="008B78E2"/>
    <w:rsid w:val="00905C40"/>
    <w:rsid w:val="00A461C0"/>
    <w:rsid w:val="00A81B39"/>
    <w:rsid w:val="00A87A73"/>
    <w:rsid w:val="00B3529C"/>
    <w:rsid w:val="00C43517"/>
    <w:rsid w:val="00D6615C"/>
    <w:rsid w:val="00DE20F5"/>
    <w:rsid w:val="00E302BE"/>
    <w:rsid w:val="00E349B3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334E9F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334E9F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334E9F"/>
    <w:rPr>
      <w:rFonts w:ascii="Calibri" w:hAnsi="Calibri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334E9F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334E9F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334E9F"/>
    <w:rPr>
      <w:rFonts w:ascii="Calibri" w:hAnsi="Calibri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5F572F6B</Template>
  <TotalTime>27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2020-01-02T09:49:00Z</dcterms:created>
  <dcterms:modified xsi:type="dcterms:W3CDTF">2020-01-02T10:16:00Z</dcterms:modified>
</cp:coreProperties>
</file>